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93</w:t>
      </w:r>
    </w:p>
    <w:p>
      <w:r>
        <w:t>Bundesgericht (BGE), 2006-05-02, DE</w:t>
      </w:r>
    </w:p>
    <w:p>
      <w:r>
        <w:rPr>
          <w:b/>
        </w:rPr>
        <w:t xml:space="preserve">Quelle: </w:t>
      </w:r>
      <w:r>
        <w:t>https://mcp.opencaselaw.ch/entscheid/bge_139 III 93</w:t>
      </w:r>
    </w:p>
    <w:p>
      <w:r>
        <w:t>FR: ATF 139 III 93</w:t>
      </w:r>
    </w:p>
    <w:p>
      <w:r>
        <w:t>IT: DTF 139 III 93</w:t>
      </w:r>
    </w:p>
    <w:p>
      <w:pPr>
        <w:pStyle w:val="Heading2"/>
      </w:pPr>
      <w:r>
        <w:t>Regeste</w:t>
      </w:r>
    </w:p>
    <w:p>
      <w:r>
        <w:t>Regeste Art. 273 SchKG; Haftung für Arrestschaden. Prüfung der Widerrechtlichkeit als Voraussetzung zur verschuldensunabhängigen Haftung (E. 4.1 und 4.2).</w:t>
      </w:r>
    </w:p>
    <w:p>
      <w:pPr>
        <w:pStyle w:val="Heading2"/>
      </w:pPr>
      <w:r>
        <w:t>Erwägungen</w:t>
      </w:r>
    </w:p>
    <w:p>
      <w:r>
        <w:rPr>
          <w:b/>
        </w:rPr>
        <w:t>E. 4</w:t>
      </w:r>
    </w:p>
    <w:p>
      <w:r>
        <w:t>Gemäss Art. 273 Abs. 1 SchKG haftet der Gläubiger dem Schuldner als auch dem Dritten für den aus einem ungerechtfertigen Arrest erwachsenen Schaden. Anlass zur vorliegenden Beschwerde gibt die Frage, ob die Voraussetzungen zur Haftung für Arrestschaden gegeben sind.</w:t>
      </w:r>
    </w:p>
    <w:p>
      <w:r>
        <w:rPr>
          <w:b/>
        </w:rPr>
        <w:t>E. 4.1</w:t>
      </w:r>
    </w:p>
    <w:p>
      <w:r>
        <w:t>Es steht fest und ist unbestritten, dass das Obergericht den Arrest im Einspracheverfahren mit Entscheid vom 18. August 2006 aufgehoben hat, weil die Arrestforderung nicht fällig und durch ein Pfand BGE 139 III 93 S. 95 gedeckt sei, und dass die staatsrechtliche Beschwerde erfolglos blieb. Die Beschwerdeführerin wendet sich gegen die Auffassung des Obergerichts, welches die Widerrechtlichkeit des Arrestes mit der Begründung bejaht hat, dass die Arresteinsprache gutgeheissen worden ist.</w:t>
      </w:r>
    </w:p>
    <w:p>
      <w:r>
        <w:rPr>
          <w:b/>
        </w:rPr>
        <w:t>E. 4.1.1</w:t>
      </w:r>
    </w:p>
    <w:p>
      <w:r>
        <w:t>Das Obergericht folgt der Auffassung, die von der Lehre ganz überwiegend geteilt wird (GILLIÉRON, Commentaire de la loi fédérale sur la poursuite pour dettes et la faillite, Bd. IV, 2003, N. 11 zu Art. 273 SchKG ; STOFFEL/CHABLOZ, in: Commentaire romand, Poursuite et faillite, 2005, N. 16 zu Art. 273 SchKG ; AMONN/WALTHER, Grundriss des Schuldbetreibungs- und Konkursrechts, 8. Aufl. 2008, § 51 Rz. 81; MEIER-DIETERLE, in: Kurzkommentar SchKG, 2009, N. 7 zu Art. 273 SchKG ; KREN KOSTKIEWICZ, Schuldbetreibungs- und Konkursrecht, 2012, S. 382 Rz. 1507). Die Beschwerdeführerin hält mit Hinweis auf die abweichende Meinung von ARTHO VON GUNTEN (Die Arresteinsprache, 2001, S. 118) entgegen, dass der Arresteinspracheentscheid im Schadenersatzprozess nach Art. 273 SchKG nicht bindend sei, weil die Einsprache im summarischen Verfahren beurteilt werde und das Prozessthema verschieden sei.</w:t>
      </w:r>
    </w:p>
    <w:p>
      <w:r>
        <w:rPr>
          <w:b/>
        </w:rPr>
        <w:t>E. 4.1.2</w:t>
      </w:r>
    </w:p>
    <w:p>
      <w:r>
        <w:t>Diese Argumentation überzeugt nicht. Gerade weil das Prozessthema im Schadenersatzprozess verschieden und der Einspracherichter zuständig ist, über die Arrestbewilligung zu entscheiden, ist der Richter im Schadenersatzprozess an die rechtskräftig beurteilte Vorfrage gebunden. Diese Überlegung zur Vorfrage kommt bereits in einem frühen Urteil des Bundesgerichts zum Ausdruck (BGE 22 S. 884 E. 3 S. 888). In der Botschaft zum revidierten SchKG werden sodann das Fehlen eines Arrestgrundes, das Nichtbestehen der Gläubigerforderung und der Arrest auf Vermögen, das im Eigentum Dritter steht, als Hauptfälle des ungerechtfertigten Arrestes bezeichnet (Botschaft über die Änderung des SchKG vom 8. Mai 1991, BBl 1991 III 1, 167 f. Ziff. 208.3). Kommt der Arresteinspracherichter nach Prüfung dieser Gründe zur Arrestbewilligung (vgl. Art. 272 Abs. 1 SchKG ) zum Ergebnis, dass die Einsprache gutzuheissen ist, steht fest, dass das Mittel des Arrestes falsch war. Wenn das Obergericht im Haftungsprozess aus Arrestschaden die auf Arresteinsprache hin rechtskräftig beurteilte Vorfrage nicht mehr überprüft hat, ist dies nicht zu beanstanden. Es erübrigt sich, auf die Vorbringen der Beschwerdeführerin gegen die (Eventual-)Begründung der Vorinstanz einzugehen, wonach der Arresteinspracheentscheid bzw. die Aufhebung des Arrestes bei erneuter Prüfung rechtens wäre. BGE 139 III 93 S. 96</w:t>
      </w:r>
    </w:p>
    <w:p>
      <w:r>
        <w:rPr>
          <w:b/>
        </w:rPr>
        <w:t>E. 4.2</w:t>
      </w:r>
    </w:p>
    <w:p>
      <w:r>
        <w:t>Ob den Arrestnehmer bei der Wahl des falschen Mittels ein Verschulden traf, ist nicht zu untersuchen; die (Kausal-) Haftung für Arrestschaden tritt auch ein, wenn das Vorgehen in unklarer Lage verständlich erscheint (BGE 19 S. 439 E. 2 S. 442; bestätigt in Urteil 5C.177/2002 vom 16. Oktober 2002 E. 1 und 4, in: Pra 2003 Nr. 72 S. 381, 385 f. mit weiteren Hinw.). Die Beschwerdeführerin bringt daher vergeblich vor, das Obergericht habe übergangen, dass sie das Arrestgesuch in guten Treuen gestellt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